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C9" w:rsidRPr="0097315A" w:rsidRDefault="008D1BC9" w:rsidP="008D1BC9">
      <w:pPr>
        <w:spacing w:before="240" w:after="480" w:line="360" w:lineRule="exact"/>
        <w:ind w:firstLine="340"/>
        <w:jc w:val="center"/>
        <w:rPr>
          <w:rFonts w:ascii="Garamond" w:hAnsi="Garamond"/>
          <w:noProof/>
          <w:sz w:val="24"/>
          <w:szCs w:val="24"/>
          <w:lang w:eastAsia="hu-HU"/>
        </w:rPr>
      </w:pPr>
      <w:r w:rsidRPr="00ED527D">
        <w:rPr>
          <w:rFonts w:ascii="Garamond" w:hAnsi="Garamond"/>
          <w:noProof/>
          <w:sz w:val="24"/>
          <w:szCs w:val="24"/>
          <w:lang w:val="en-US"/>
        </w:rPr>
        <mc:AlternateContent>
          <mc:Choice Requires="wps">
            <w:drawing>
              <wp:anchor distT="0" distB="0" distL="114300" distR="114300" simplePos="0" relativeHeight="251660288" behindDoc="0" locked="0" layoutInCell="1" allowOverlap="1" wp14:anchorId="4E2F5547" wp14:editId="08E7586B">
                <wp:simplePos x="0" y="0"/>
                <wp:positionH relativeFrom="column">
                  <wp:posOffset>4090035</wp:posOffset>
                </wp:positionH>
                <wp:positionV relativeFrom="paragraph">
                  <wp:posOffset>-1096646</wp:posOffset>
                </wp:positionV>
                <wp:extent cx="1971675" cy="1285875"/>
                <wp:effectExtent l="0" t="0" r="0"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285875"/>
                        </a:xfrm>
                        <a:prstGeom prst="roundRect">
                          <a:avLst/>
                        </a:prstGeom>
                        <a:noFill/>
                        <a:ln w="9525">
                          <a:noFill/>
                          <a:prstDash val="lgDash"/>
                          <a:miter lim="800000"/>
                          <a:headEnd/>
                          <a:tailEnd/>
                        </a:ln>
                      </wps:spPr>
                      <wps:txbx>
                        <w:txbxContent>
                          <w:p w:rsidR="008D1BC9" w:rsidRPr="00ED527D" w:rsidRDefault="008D1BC9" w:rsidP="008D1BC9">
                            <w:pPr>
                              <w:jc w:val="center"/>
                              <w:rPr>
                                <w:rFonts w:ascii="Garamond" w:hAnsi="Garamond" w:cstheme="minorHAnsi"/>
                                <w:smallCaps/>
                                <w:sz w:val="36"/>
                                <w:szCs w:val="36"/>
                              </w:rPr>
                            </w:pPr>
                            <w:r w:rsidRPr="007E2F79">
                              <w:rPr>
                                <w:noProof/>
                                <w:lang w:val="en-US"/>
                              </w:rPr>
                              <w:drawing>
                                <wp:inline distT="0" distB="0" distL="0" distR="0" wp14:anchorId="4388EB22" wp14:editId="76B14C2B">
                                  <wp:extent cx="1000125" cy="942975"/>
                                  <wp:effectExtent l="0" t="0" r="9525" b="0"/>
                                  <wp:docPr id="3" name="Kép 3" descr="Leírás: pannon_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1" descr="Leírás: pannon_k"/>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E2F5547" id="Szövegdoboz 2" o:spid="_x0000_s1026" style="position:absolute;left:0;text-align:left;margin-left:322.05pt;margin-top:-86.35pt;width:155.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poKQIAABoEAAAOAAAAZHJzL2Uyb0RvYy54bWysU12O0zAQfkfiDpbfadLQbtuo6WrZsghp&#10;+RGFAzi2k1g4nmC7TdqDcQEuxtjpdit4Q+Qh8nhmvpn55vP6dmg1OUjrFJiCTicpJdJwEMrUBf32&#10;9eHVkhLnmRFMg5EFPUpHbzcvX6z7LpcZNKCFtARBjMv7rqCN912eJI43smVuAp006KzAtsyjaetE&#10;WNYjequTLE1vkh6s6Cxw6Rzebkcn3UT8qpLcf6oqJz3RBcXefPzb+C/DP9msWV5b1jWKn9tg/9BF&#10;y5TBoheoLfOM7K36C6pV3IKDyk84tAlUleIyzoDTTNM/ptk1rJNxFiTHdRea3P+D5R8Pny1RoqCv&#10;0wUlhrW4pN3p18+DrAWUcCJZ4KjvXI6huw6D/fAGBtx1nNd1j8C/O2LgvmGmlnfWQt9IJrDHachM&#10;rlJHHBdAyv4DCCzF9h4i0FDZNhCIlBBEx10dL/uRgyc8lFwtpjeLOSUcfdNsOV+iEWqw/Cm9s86/&#10;k9CScCiohb0RX1AFsQY7PDo/xj/FhZIGHpTWeM9ybUhf0NU8m8eEK09I2DLXkANDKek6nEf1tMqj&#10;hLVqC7pMwzdeBxLeGhFhPVN6PGOr2pxZCUSMlPihHDAwUFWCOCI/Fkap4tPCQwP2REmPMi2o+7Fn&#10;VlKi3xvkeDWdzYKuozGbLzI07LWnvPYwwxGqoNxbSkbj3sfXMPJwh9uoVKTouZdztyjAyPT5sQSF&#10;X9sx6vlJb34DAAD//wMAUEsDBBQABgAIAAAAIQAAiWX24QAAAAsBAAAPAAAAZHJzL2Rvd25yZXYu&#10;eG1sTI9BTsMwEEX3SNzBGiQ2VeskhDQNmVQIlV1VROEA03iaRI3tELttuD1mBcvRf/r/TbmedC8u&#10;PLrOGoR4EYFgU1vVmQbh8+N1noNwnoyi3hpG+GYH6+r2pqRC2at558veNyKUGFcQQuv9UEjp6pY1&#10;uYUd2ITsaEdNPpxjI9VI11Cue5lEUSY1dSYstDTwS8v1aX/WCLOs3749zHano6Z8m/s0cpuvDeL9&#10;3fT8BMLz5P9g+NUP6lAFp4M9G+VEj5ClaRxQhHm8TJYgArJ6TDMQB4RklYOsSvn/h+oHAAD//wMA&#10;UEsBAi0AFAAGAAgAAAAhALaDOJL+AAAA4QEAABMAAAAAAAAAAAAAAAAAAAAAAFtDb250ZW50X1R5&#10;cGVzXS54bWxQSwECLQAUAAYACAAAACEAOP0h/9YAAACUAQAACwAAAAAAAAAAAAAAAAAvAQAAX3Jl&#10;bHMvLnJlbHNQSwECLQAUAAYACAAAACEA1vTaaCkCAAAaBAAADgAAAAAAAAAAAAAAAAAuAgAAZHJz&#10;L2Uyb0RvYy54bWxQSwECLQAUAAYACAAAACEAAIll9uEAAAALAQAADwAAAAAAAAAAAAAAAACDBAAA&#10;ZHJzL2Rvd25yZXYueG1sUEsFBgAAAAAEAAQA8wAAAJEFAAAAAA==&#10;" filled="f" stroked="f">
                <v:stroke dashstyle="longDash" joinstyle="miter"/>
                <v:textbox>
                  <w:txbxContent>
                    <w:p w:rsidR="008D1BC9" w:rsidRPr="00ED527D" w:rsidRDefault="008D1BC9" w:rsidP="008D1BC9">
                      <w:pPr>
                        <w:jc w:val="center"/>
                        <w:rPr>
                          <w:rFonts w:ascii="Garamond" w:hAnsi="Garamond" w:cstheme="minorHAnsi"/>
                          <w:smallCaps/>
                          <w:sz w:val="36"/>
                          <w:szCs w:val="36"/>
                        </w:rPr>
                      </w:pPr>
                      <w:r w:rsidRPr="007E2F79">
                        <w:rPr>
                          <w:noProof/>
                          <w:lang w:val="en-US"/>
                        </w:rPr>
                        <w:drawing>
                          <wp:inline distT="0" distB="0" distL="0" distR="0" wp14:anchorId="4388EB22" wp14:editId="76B14C2B">
                            <wp:extent cx="1000125" cy="942975"/>
                            <wp:effectExtent l="0" t="0" r="9525" b="0"/>
                            <wp:docPr id="3" name="Kép 3" descr="Leírás: pannon_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1" descr="Leírás: pannon_k"/>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txbxContent>
                </v:textbox>
              </v:roundrect>
            </w:pict>
          </mc:Fallback>
        </mc:AlternateContent>
      </w:r>
      <w:r w:rsidRPr="0097315A">
        <w:rPr>
          <w:rFonts w:ascii="Garamond" w:hAnsi="Garamond"/>
          <w:noProof/>
          <w:sz w:val="28"/>
          <w:szCs w:val="24"/>
          <w:lang w:val="en-US"/>
        </w:rPr>
        <w:drawing>
          <wp:anchor distT="0" distB="0" distL="114300" distR="114300" simplePos="0" relativeHeight="251659264" behindDoc="0" locked="0" layoutInCell="1" allowOverlap="1" wp14:anchorId="2E37A942" wp14:editId="28651F25">
            <wp:simplePos x="0" y="0"/>
            <wp:positionH relativeFrom="page">
              <wp:posOffset>180340</wp:posOffset>
            </wp:positionH>
            <wp:positionV relativeFrom="page">
              <wp:posOffset>360045</wp:posOffset>
            </wp:positionV>
            <wp:extent cx="6120000" cy="12096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jt_közl_fejlé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1209600"/>
                    </a:xfrm>
                    <a:prstGeom prst="rect">
                      <a:avLst/>
                    </a:prstGeom>
                  </pic:spPr>
                </pic:pic>
              </a:graphicData>
            </a:graphic>
            <wp14:sizeRelH relativeFrom="page">
              <wp14:pctWidth>0</wp14:pctWidth>
            </wp14:sizeRelH>
            <wp14:sizeRelV relativeFrom="page">
              <wp14:pctHeight>0</wp14:pctHeight>
            </wp14:sizeRelV>
          </wp:anchor>
        </w:drawing>
      </w:r>
      <w:r w:rsidRPr="0097315A">
        <w:rPr>
          <w:rFonts w:ascii="Garamond" w:hAnsi="Garamond"/>
          <w:b/>
          <w:noProof/>
          <w:sz w:val="28"/>
          <w:szCs w:val="24"/>
        </w:rPr>
        <w:t xml:space="preserve">A </w:t>
      </w:r>
      <w:r w:rsidRPr="005949FE">
        <w:rPr>
          <w:rFonts w:ascii="Garamond" w:hAnsi="Garamond"/>
          <w:b/>
          <w:noProof/>
          <w:sz w:val="28"/>
          <w:szCs w:val="24"/>
        </w:rPr>
        <w:t>Téma</w:t>
      </w:r>
      <w:r w:rsidR="00FA32F0">
        <w:rPr>
          <w:rFonts w:ascii="Garamond" w:hAnsi="Garamond"/>
          <w:b/>
          <w:noProof/>
          <w:sz w:val="28"/>
          <w:szCs w:val="24"/>
        </w:rPr>
        <w:t>területi Kiválósági Program 2021</w:t>
      </w:r>
      <w:r w:rsidRPr="005949FE">
        <w:rPr>
          <w:rFonts w:ascii="Garamond" w:hAnsi="Garamond"/>
          <w:b/>
          <w:noProof/>
          <w:sz w:val="28"/>
          <w:szCs w:val="24"/>
        </w:rPr>
        <w:t xml:space="preserve"> keretében valósul meg a Pannon Egyetem </w:t>
      </w:r>
      <w:r w:rsidR="007168B0">
        <w:rPr>
          <w:rFonts w:ascii="Garamond" w:hAnsi="Garamond"/>
          <w:b/>
          <w:noProof/>
          <w:sz w:val="28"/>
          <w:szCs w:val="24"/>
        </w:rPr>
        <w:t>nemzetvédelmi</w:t>
      </w:r>
      <w:r w:rsidRPr="005949FE">
        <w:rPr>
          <w:rFonts w:ascii="Garamond" w:hAnsi="Garamond"/>
          <w:b/>
          <w:noProof/>
          <w:sz w:val="28"/>
          <w:szCs w:val="24"/>
        </w:rPr>
        <w:t xml:space="preserve"> projektje</w:t>
      </w:r>
    </w:p>
    <w:p w:rsidR="008D1BC9" w:rsidRDefault="008D1BC9" w:rsidP="008D1BC9">
      <w:pPr>
        <w:spacing w:after="0" w:line="360" w:lineRule="exact"/>
        <w:jc w:val="both"/>
        <w:rPr>
          <w:rFonts w:ascii="Garamond" w:hAnsi="Garamond"/>
          <w:b/>
          <w:noProof/>
        </w:rPr>
      </w:pPr>
      <w:r w:rsidRPr="005949FE">
        <w:rPr>
          <w:rFonts w:ascii="Garamond" w:hAnsi="Garamond"/>
          <w:b/>
          <w:noProof/>
        </w:rPr>
        <w:t>Veszprém, 202</w:t>
      </w:r>
      <w:r w:rsidR="00954828">
        <w:rPr>
          <w:rFonts w:ascii="Garamond" w:hAnsi="Garamond"/>
          <w:b/>
          <w:noProof/>
        </w:rPr>
        <w:t>2.01.27</w:t>
      </w:r>
      <w:bookmarkStart w:id="0" w:name="_GoBack"/>
      <w:bookmarkEnd w:id="0"/>
      <w:r w:rsidRPr="005949FE">
        <w:rPr>
          <w:rFonts w:ascii="Garamond" w:hAnsi="Garamond"/>
          <w:b/>
          <w:noProof/>
        </w:rPr>
        <w:t xml:space="preserve">. - </w:t>
      </w:r>
      <w:r w:rsidR="00FA32F0">
        <w:rPr>
          <w:rFonts w:ascii="Garamond" w:hAnsi="Garamond"/>
          <w:b/>
          <w:noProof/>
        </w:rPr>
        <w:t>A Pannon Egyetemen 2022. 01</w:t>
      </w:r>
      <w:r w:rsidRPr="00352899">
        <w:rPr>
          <w:rFonts w:ascii="Garamond" w:hAnsi="Garamond"/>
          <w:b/>
          <w:noProof/>
        </w:rPr>
        <w:t xml:space="preserve">. </w:t>
      </w:r>
      <w:r>
        <w:rPr>
          <w:rFonts w:ascii="Garamond" w:hAnsi="Garamond"/>
          <w:b/>
          <w:noProof/>
        </w:rPr>
        <w:t>01. és 202</w:t>
      </w:r>
      <w:r w:rsidR="00FA32F0">
        <w:rPr>
          <w:rFonts w:ascii="Garamond" w:hAnsi="Garamond"/>
          <w:b/>
          <w:noProof/>
        </w:rPr>
        <w:t>5.12.31.</w:t>
      </w:r>
      <w:r w:rsidRPr="00352899">
        <w:rPr>
          <w:rFonts w:ascii="Garamond" w:hAnsi="Garamond"/>
          <w:b/>
          <w:noProof/>
        </w:rPr>
        <w:t xml:space="preserve"> között valósul meg az a pályázati program</w:t>
      </w:r>
      <w:r w:rsidRPr="005949FE">
        <w:rPr>
          <w:rFonts w:ascii="Garamond" w:hAnsi="Garamond"/>
          <w:b/>
          <w:noProof/>
        </w:rPr>
        <w:t>, amely a</w:t>
      </w:r>
      <w:r w:rsidR="007168B0">
        <w:rPr>
          <w:rFonts w:ascii="Garamond" w:hAnsi="Garamond"/>
          <w:b/>
          <w:noProof/>
        </w:rPr>
        <w:t>z</w:t>
      </w:r>
      <w:r w:rsidRPr="005949FE">
        <w:rPr>
          <w:rFonts w:ascii="Garamond" w:hAnsi="Garamond"/>
          <w:b/>
          <w:noProof/>
        </w:rPr>
        <w:t xml:space="preserve"> </w:t>
      </w:r>
      <w:r w:rsidR="007168B0" w:rsidRPr="007168B0">
        <w:rPr>
          <w:rFonts w:ascii="Garamond" w:hAnsi="Garamond"/>
          <w:b/>
          <w:noProof/>
        </w:rPr>
        <w:t>ABV felderítési és katasztrófavédelmi feladatok ellátásának hatékonyságát és biztonságát javító integrált monitoring és döntéstámogató rendszer</w:t>
      </w:r>
      <w:r w:rsidR="007168B0">
        <w:rPr>
          <w:rFonts w:ascii="Garamond" w:hAnsi="Garamond"/>
          <w:b/>
          <w:noProof/>
        </w:rPr>
        <w:t>rel</w:t>
      </w:r>
      <w:r>
        <w:rPr>
          <w:rFonts w:ascii="Garamond" w:hAnsi="Garamond"/>
          <w:b/>
          <w:noProof/>
        </w:rPr>
        <w:t xml:space="preserve"> </w:t>
      </w:r>
      <w:r w:rsidRPr="005949FE">
        <w:rPr>
          <w:rFonts w:ascii="Garamond" w:hAnsi="Garamond"/>
          <w:b/>
          <w:noProof/>
        </w:rPr>
        <w:t>foglalkozik. A projekt a Tématerületi Kiválósági Program 202</w:t>
      </w:r>
      <w:r w:rsidR="00FA32F0">
        <w:rPr>
          <w:rFonts w:ascii="Garamond" w:hAnsi="Garamond"/>
          <w:b/>
          <w:noProof/>
        </w:rPr>
        <w:t>1</w:t>
      </w:r>
      <w:r w:rsidRPr="005949FE">
        <w:rPr>
          <w:rFonts w:ascii="Garamond" w:hAnsi="Garamond"/>
          <w:b/>
          <w:noProof/>
        </w:rPr>
        <w:t xml:space="preserve"> (</w:t>
      </w:r>
      <w:r w:rsidR="007168B0" w:rsidRPr="007168B0">
        <w:rPr>
          <w:rFonts w:ascii="Garamond" w:hAnsi="Garamond"/>
          <w:b/>
          <w:noProof/>
        </w:rPr>
        <w:t>TKP2021-NVA-10</w:t>
      </w:r>
      <w:r w:rsidRPr="005949FE">
        <w:rPr>
          <w:rFonts w:ascii="Garamond" w:hAnsi="Garamond"/>
          <w:b/>
          <w:noProof/>
        </w:rPr>
        <w:t>)</w:t>
      </w:r>
      <w:r w:rsidR="00AD522D" w:rsidRPr="00AD522D">
        <w:t xml:space="preserve"> </w:t>
      </w:r>
      <w:r w:rsidR="00AD522D" w:rsidRPr="00AD522D">
        <w:rPr>
          <w:rFonts w:ascii="Garamond" w:hAnsi="Garamond"/>
          <w:b/>
          <w:noProof/>
        </w:rPr>
        <w:t>Nemzetvédelem, nemzetbiztonság alprogram</w:t>
      </w:r>
      <w:r w:rsidRPr="005949FE">
        <w:rPr>
          <w:rFonts w:ascii="Garamond" w:hAnsi="Garamond"/>
          <w:b/>
          <w:noProof/>
        </w:rPr>
        <w:t xml:space="preserve"> keretében a Nemzeti Kutatási, Fejlesztési és Innovációs Hivataltól</w:t>
      </w:r>
      <w:r w:rsidR="00EE0098">
        <w:rPr>
          <w:rFonts w:ascii="Garamond" w:hAnsi="Garamond"/>
          <w:b/>
          <w:noProof/>
        </w:rPr>
        <w:t xml:space="preserve"> 100%-os </w:t>
      </w:r>
      <w:r w:rsidR="005C51CE">
        <w:rPr>
          <w:rFonts w:ascii="Garamond" w:hAnsi="Garamond"/>
          <w:b/>
          <w:noProof/>
        </w:rPr>
        <w:t>támogatási intenzitással</w:t>
      </w:r>
      <w:r w:rsidRPr="005949FE">
        <w:rPr>
          <w:rFonts w:ascii="Garamond" w:hAnsi="Garamond"/>
          <w:b/>
          <w:noProof/>
        </w:rPr>
        <w:t xml:space="preserve"> </w:t>
      </w:r>
      <w:r w:rsidR="007168B0">
        <w:rPr>
          <w:rFonts w:ascii="Garamond" w:hAnsi="Garamond"/>
          <w:b/>
          <w:noProof/>
        </w:rPr>
        <w:t>1 000 000 000</w:t>
      </w:r>
      <w:r w:rsidR="00B44A76">
        <w:rPr>
          <w:rFonts w:ascii="Garamond" w:hAnsi="Garamond"/>
          <w:b/>
          <w:noProof/>
        </w:rPr>
        <w:t xml:space="preserve"> Ft</w:t>
      </w:r>
      <w:r w:rsidRPr="005949FE">
        <w:rPr>
          <w:rFonts w:ascii="Garamond" w:hAnsi="Garamond"/>
          <w:b/>
          <w:noProof/>
        </w:rPr>
        <w:t xml:space="preserve"> támogatást kapott.</w:t>
      </w:r>
    </w:p>
    <w:p w:rsidR="008D1BC9" w:rsidRDefault="008D1BC9" w:rsidP="008D1BC9">
      <w:pPr>
        <w:spacing w:after="0" w:line="360" w:lineRule="exact"/>
        <w:jc w:val="both"/>
        <w:rPr>
          <w:rFonts w:ascii="Garamond" w:hAnsi="Garamond"/>
          <w:b/>
          <w:noProof/>
        </w:rPr>
      </w:pPr>
    </w:p>
    <w:p w:rsidR="00FE6BEC" w:rsidRPr="00FE6BEC" w:rsidRDefault="00FE6BEC" w:rsidP="00FE6BEC">
      <w:pPr>
        <w:spacing w:after="0" w:line="360" w:lineRule="auto"/>
        <w:jc w:val="both"/>
        <w:rPr>
          <w:rFonts w:ascii="Garamond" w:hAnsi="Garamond"/>
          <w:noProof/>
        </w:rPr>
      </w:pPr>
      <w:r w:rsidRPr="00FE6BEC">
        <w:rPr>
          <w:rFonts w:ascii="Garamond" w:hAnsi="Garamond"/>
          <w:noProof/>
        </w:rPr>
        <w:t>A kutatás célja olyan szenzorhálózat és információs rendszer fejlesztése, amely alkalmas atom-, vegyi-, vagy biológiai (ABV) fegyverek és a polgári lakosság által okozott társadalomra veszélyes szennyeződések forrásainak és jellemzőinek felderítésére és a kapcsolódó katasztrófákkal szembeni védekezési tevékenység támogatására.</w:t>
      </w:r>
    </w:p>
    <w:p w:rsidR="00FE6BEC" w:rsidRPr="00FE6BEC" w:rsidRDefault="00FE6BEC" w:rsidP="00FE6BEC">
      <w:pPr>
        <w:spacing w:after="0" w:line="360" w:lineRule="auto"/>
        <w:jc w:val="both"/>
        <w:rPr>
          <w:rFonts w:ascii="Garamond" w:hAnsi="Garamond"/>
          <w:noProof/>
        </w:rPr>
      </w:pPr>
      <w:r w:rsidRPr="00FE6BEC">
        <w:rPr>
          <w:rFonts w:ascii="Garamond" w:hAnsi="Garamond"/>
          <w:noProof/>
        </w:rPr>
        <w:t>A Magyar Honvédség ABV riasztási-, értesítési-, és felderítési rendszerében az ABV információk gyűjtését és értékelését a Légierő Parancsnokság Vegyi Információs Központja (LEP VIK) koordinálja. Az ABV felderítés hatékonysága és biztonsága elsődlegesen az ABV központok és az alárendelt csapatokhoz kapcsolódó alközpontok és felderítő rajok tevékenységének összehangolásán és a mérések tervezettségén és megbízhatóságán múlik.</w:t>
      </w:r>
    </w:p>
    <w:p w:rsidR="00FE6BEC" w:rsidRPr="00FE6BEC" w:rsidRDefault="00FE6BEC" w:rsidP="00FE6BEC">
      <w:pPr>
        <w:spacing w:after="0" w:line="360" w:lineRule="auto"/>
        <w:jc w:val="both"/>
        <w:rPr>
          <w:rFonts w:ascii="Garamond" w:hAnsi="Garamond"/>
          <w:noProof/>
        </w:rPr>
      </w:pPr>
      <w:r w:rsidRPr="00FE6BEC">
        <w:rPr>
          <w:rFonts w:ascii="Garamond" w:hAnsi="Garamond"/>
          <w:noProof/>
        </w:rPr>
        <w:t>A katasztrófavédelmi tevékenységet a Monitoring és Lakossági Riasztó (MoLaRi) rendszer is segíti, amely országos kiterjedéssel fogja át az alsó és felső küszöbértékű veszélyes vegyi ipari üzemek körzetében redundánsan működő adatátviteli hálózatra épülő meteorológiai és vegyi monitoring, valamint lakossági riasztó funkciókat.</w:t>
      </w:r>
    </w:p>
    <w:p w:rsidR="00FE6BEC" w:rsidRPr="00FE6BEC" w:rsidRDefault="00FE6BEC" w:rsidP="00FE6BEC">
      <w:pPr>
        <w:spacing w:after="0" w:line="360" w:lineRule="auto"/>
        <w:jc w:val="both"/>
        <w:rPr>
          <w:rFonts w:ascii="Garamond" w:hAnsi="Garamond"/>
          <w:noProof/>
        </w:rPr>
      </w:pPr>
      <w:r w:rsidRPr="00FE6BEC">
        <w:rPr>
          <w:rFonts w:ascii="Garamond" w:hAnsi="Garamond"/>
          <w:noProof/>
        </w:rPr>
        <w:t>A légi-sugár, -vegyi, és légi- biológiai felderítési tevékenységnek tehát alapos tervezési tevékenységre kell épülnie, mely megköveteli a földfelszíni pontosító mérések tervezését, és az egyéb védelmi és felderítő tevékenységek és információk összehangolását. A légi ABV felderítést mindezek alapján központosított módszerrel célszerű tervezni és irányítani, a földi ABV felderítést pedig a integráltan kell végrehajtani.</w:t>
      </w:r>
    </w:p>
    <w:p w:rsidR="00FE6BEC" w:rsidRPr="00FE6BEC" w:rsidRDefault="00FE6BEC" w:rsidP="00FE6BEC">
      <w:pPr>
        <w:spacing w:after="0" w:line="360" w:lineRule="auto"/>
        <w:jc w:val="both"/>
        <w:rPr>
          <w:rFonts w:ascii="Garamond" w:hAnsi="Garamond"/>
          <w:noProof/>
        </w:rPr>
      </w:pPr>
      <w:r w:rsidRPr="00FE6BEC">
        <w:rPr>
          <w:rFonts w:ascii="Garamond" w:hAnsi="Garamond"/>
          <w:noProof/>
        </w:rPr>
        <w:t>A kutatási tevékenység a Pannon Egyetem kompetenciáira és K+F tapasztalataira építve a fenti követelményeknek megfelelő rendszer fejlesztéséhez a következő összehangolt tevékenységekkel kíván hozzájárulni:</w:t>
      </w:r>
    </w:p>
    <w:p w:rsidR="00FE6BEC" w:rsidRPr="00FE6BEC" w:rsidRDefault="00FE6BEC" w:rsidP="00FE6BEC">
      <w:pPr>
        <w:spacing w:after="0" w:line="360" w:lineRule="auto"/>
        <w:jc w:val="both"/>
        <w:rPr>
          <w:rFonts w:ascii="Garamond" w:hAnsi="Garamond"/>
          <w:noProof/>
        </w:rPr>
      </w:pPr>
      <w:r w:rsidRPr="00FE6BEC">
        <w:rPr>
          <w:rFonts w:ascii="Garamond" w:hAnsi="Garamond"/>
          <w:noProof/>
        </w:rPr>
        <w:t>I) Szenzorfejlesztés, mérőrendszer fejlesztés</w:t>
      </w:r>
    </w:p>
    <w:p w:rsidR="00FE6BEC" w:rsidRPr="00FE6BEC" w:rsidRDefault="00FE6BEC" w:rsidP="00FE6BEC">
      <w:pPr>
        <w:spacing w:after="0" w:line="360" w:lineRule="auto"/>
        <w:jc w:val="both"/>
        <w:rPr>
          <w:rFonts w:ascii="Garamond" w:hAnsi="Garamond"/>
          <w:noProof/>
        </w:rPr>
      </w:pPr>
      <w:r w:rsidRPr="00FE6BEC">
        <w:rPr>
          <w:rFonts w:ascii="Garamond" w:hAnsi="Garamond"/>
          <w:noProof/>
        </w:rPr>
        <w:t xml:space="preserve">A pilóta nélküli légi felderítési tevékenység legfontosabb sikertényezője a kis súlyú és megfelelő érzékenységgel bíró szenzorok alkalmazásának a lehetősége. Az alprogram célja ezen szenzorok kiválasztása és tesztelése, és a kapcsolódó mérési eljárások fejlesztése. Cél, hogy a már alkalmazott és bevezetés előtt álló önvezető járművekhez illeszkedő (elsődlegesen kis súlyt lehetővé tevő mérési módszereket és szenzorok fejlesztéséhez hozzájáruló </w:t>
      </w:r>
      <w:r w:rsidRPr="00FE6BEC">
        <w:rPr>
          <w:rFonts w:ascii="Garamond" w:hAnsi="Garamond"/>
          <w:noProof/>
        </w:rPr>
        <w:lastRenderedPageBreak/>
        <w:t>kutatásokat és elemzések végzése, mely a Magyar Honvédség és Katasztrófavédelem számára döntéselőkészítésben hasznos információkat szolgáltat.</w:t>
      </w:r>
    </w:p>
    <w:p w:rsidR="00FE6BEC" w:rsidRPr="00FE6BEC" w:rsidRDefault="00FE6BEC" w:rsidP="00FE6BEC">
      <w:pPr>
        <w:spacing w:after="0" w:line="360" w:lineRule="auto"/>
        <w:jc w:val="both"/>
        <w:rPr>
          <w:rFonts w:ascii="Garamond" w:hAnsi="Garamond"/>
          <w:noProof/>
        </w:rPr>
      </w:pPr>
      <w:r w:rsidRPr="00FE6BEC">
        <w:rPr>
          <w:rFonts w:ascii="Garamond" w:hAnsi="Garamond"/>
          <w:noProof/>
        </w:rPr>
        <w:t>II) ABV átvizsgálás - Szenzorfúzió, környezetállapot értékelés</w:t>
      </w:r>
    </w:p>
    <w:p w:rsidR="00F44438" w:rsidRDefault="00FE6BEC" w:rsidP="00FE6BEC">
      <w:pPr>
        <w:spacing w:after="0" w:line="360" w:lineRule="auto"/>
        <w:jc w:val="both"/>
        <w:rPr>
          <w:rFonts w:ascii="Garamond" w:hAnsi="Garamond"/>
          <w:noProof/>
        </w:rPr>
      </w:pPr>
      <w:r w:rsidRPr="00FE6BEC">
        <w:rPr>
          <w:rFonts w:ascii="Garamond" w:hAnsi="Garamond"/>
          <w:noProof/>
        </w:rPr>
        <w:t>Az ABV átvizsgálás (NBC Survey) a szennyezés jellegének és mértékének előrejelzésére és meghatározására szolgál, a szennyezett terület határainak becslésével. A pontszerű veszélyforrások helyének hatékony meghatározása és a várható környezeti és társadalmi hatások előrebecslése megköveteli az elérhető környezeti és műveleti információk integrálását. A kutatás célja a térinformatika, az adat-, szenzor- és információ fúziós eljárások és a környezetállapot értékelésben alkalmazható modellek fejlesztése annak érdekében, hogy az ABV felderítő és a katasztrófavédelmi tevékenységek tervezése és összehangolása hatékonyan és biztonságosan megvalósulhasson.</w:t>
      </w:r>
    </w:p>
    <w:p w:rsidR="00FE6BEC" w:rsidRDefault="00FE6BEC" w:rsidP="00FE6BEC">
      <w:pPr>
        <w:spacing w:after="0" w:line="360" w:lineRule="auto"/>
        <w:jc w:val="both"/>
        <w:rPr>
          <w:rFonts w:ascii="Garamond" w:hAnsi="Garamond"/>
          <w:noProof/>
        </w:rPr>
      </w:pPr>
    </w:p>
    <w:p w:rsidR="008D1BC9" w:rsidRPr="00A4068D" w:rsidRDefault="00D35193" w:rsidP="00F44438">
      <w:pPr>
        <w:spacing w:after="0" w:line="360" w:lineRule="auto"/>
        <w:jc w:val="both"/>
        <w:rPr>
          <w:rFonts w:ascii="Garamond" w:hAnsi="Garamond"/>
          <w:noProof/>
          <w:color w:val="000000" w:themeColor="text1"/>
          <w:sz w:val="21"/>
          <w:szCs w:val="21"/>
        </w:rPr>
      </w:pPr>
      <w:r w:rsidRPr="00C12336">
        <w:rPr>
          <w:rFonts w:ascii="Garamond" w:hAnsi="Garamond"/>
          <w:noProof/>
          <w:color w:val="000000" w:themeColor="text1"/>
          <w:sz w:val="21"/>
          <w:szCs w:val="21"/>
        </w:rPr>
        <w:t>A gyakorlatban felhasználható eljárások szellemi oltalmának biztosítását és hasznosításának elősegítését a Pannon Egyetem Tudás- és Technológiatranszfer Központja fogja végezni.</w:t>
      </w:r>
    </w:p>
    <w:p w:rsidR="008D1BC9" w:rsidRDefault="008D1BC9" w:rsidP="008D1BC9">
      <w:pPr>
        <w:spacing w:after="0" w:line="360" w:lineRule="auto"/>
        <w:ind w:firstLine="340"/>
        <w:jc w:val="both"/>
        <w:rPr>
          <w:rFonts w:ascii="Garamond" w:hAnsi="Garamond"/>
          <w:noProof/>
        </w:rPr>
      </w:pPr>
    </w:p>
    <w:p w:rsidR="008D1BC9" w:rsidRPr="0097315A" w:rsidRDefault="008D1BC9" w:rsidP="008D1BC9">
      <w:pPr>
        <w:spacing w:after="0" w:line="360" w:lineRule="auto"/>
        <w:ind w:firstLine="340"/>
        <w:jc w:val="both"/>
        <w:rPr>
          <w:rFonts w:ascii="Garamond" w:hAnsi="Garamond"/>
          <w:b/>
          <w:noProof/>
          <w:u w:val="single"/>
        </w:rPr>
      </w:pPr>
      <w:r w:rsidRPr="0097315A">
        <w:rPr>
          <w:rFonts w:ascii="Garamond" w:hAnsi="Garamond"/>
          <w:b/>
          <w:noProof/>
          <w:u w:val="single"/>
        </w:rPr>
        <w:t>További információ:</w:t>
      </w:r>
    </w:p>
    <w:p w:rsidR="008D1BC9" w:rsidRPr="006C5BAE" w:rsidRDefault="008D1BC9" w:rsidP="008D1BC9">
      <w:pPr>
        <w:spacing w:after="0" w:line="360" w:lineRule="auto"/>
        <w:ind w:firstLine="340"/>
        <w:jc w:val="both"/>
        <w:rPr>
          <w:rFonts w:ascii="Garamond" w:hAnsi="Garamond"/>
          <w:noProof/>
        </w:rPr>
      </w:pPr>
      <w:r w:rsidRPr="006C5BAE">
        <w:rPr>
          <w:rFonts w:ascii="Garamond" w:hAnsi="Garamond"/>
          <w:noProof/>
        </w:rPr>
        <w:t>Horváth Virág</w:t>
      </w:r>
    </w:p>
    <w:p w:rsidR="008D1BC9" w:rsidRPr="006C5BAE" w:rsidRDefault="008D1BC9" w:rsidP="008D1BC9">
      <w:pPr>
        <w:spacing w:after="0" w:line="360" w:lineRule="auto"/>
        <w:ind w:firstLine="340"/>
        <w:jc w:val="both"/>
        <w:rPr>
          <w:rFonts w:ascii="Garamond" w:hAnsi="Garamond"/>
          <w:noProof/>
        </w:rPr>
      </w:pPr>
      <w:r w:rsidRPr="006C5BAE">
        <w:rPr>
          <w:rFonts w:ascii="Garamond" w:hAnsi="Garamond"/>
          <w:noProof/>
        </w:rPr>
        <w:t>PE NKKI sajtómenedzser</w:t>
      </w:r>
    </w:p>
    <w:p w:rsidR="008D1BC9" w:rsidRPr="006C5BAE" w:rsidRDefault="008D1BC9" w:rsidP="008D1BC9">
      <w:pPr>
        <w:spacing w:after="0" w:line="360" w:lineRule="auto"/>
        <w:ind w:firstLine="340"/>
        <w:jc w:val="both"/>
        <w:rPr>
          <w:rFonts w:ascii="Garamond" w:hAnsi="Garamond"/>
          <w:noProof/>
        </w:rPr>
      </w:pPr>
      <w:r w:rsidRPr="006C5BAE">
        <w:rPr>
          <w:rFonts w:ascii="Garamond" w:hAnsi="Garamond"/>
          <w:noProof/>
        </w:rPr>
        <w:t xml:space="preserve">Email: </w:t>
      </w:r>
      <w:hyperlink r:id="rId9" w:history="1">
        <w:r w:rsidRPr="006C5BAE">
          <w:rPr>
            <w:rFonts w:ascii="Garamond" w:hAnsi="Garamond"/>
            <w:noProof/>
          </w:rPr>
          <w:t>horvath.virag@mftk.uni-pannon.hu</w:t>
        </w:r>
      </w:hyperlink>
    </w:p>
    <w:p w:rsidR="008D1BC9" w:rsidRPr="00170A5F" w:rsidRDefault="008D1BC9" w:rsidP="008D1BC9">
      <w:pPr>
        <w:spacing w:after="0" w:line="360" w:lineRule="auto"/>
        <w:ind w:firstLine="340"/>
        <w:jc w:val="both"/>
        <w:rPr>
          <w:rFonts w:ascii="Garamond" w:hAnsi="Garamond"/>
          <w:sz w:val="24"/>
          <w:szCs w:val="24"/>
        </w:rPr>
      </w:pPr>
      <w:r w:rsidRPr="006C5BAE">
        <w:rPr>
          <w:rFonts w:ascii="Garamond" w:hAnsi="Garamond"/>
          <w:noProof/>
        </w:rPr>
        <w:t>Tel.: 0670/4223714</w:t>
      </w:r>
    </w:p>
    <w:p w:rsidR="006A075B" w:rsidRDefault="006A075B"/>
    <w:sectPr w:rsidR="006A075B" w:rsidSect="005949FE">
      <w:footerReference w:type="default" r:id="rId10"/>
      <w:pgSz w:w="11906" w:h="16838"/>
      <w:pgMar w:top="2552" w:right="1134" w:bottom="2269" w:left="1134" w:header="709" w:footer="19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4F" w:rsidRDefault="00DF7E4F">
      <w:pPr>
        <w:spacing w:after="0" w:line="240" w:lineRule="auto"/>
      </w:pPr>
      <w:r>
        <w:separator/>
      </w:r>
    </w:p>
  </w:endnote>
  <w:endnote w:type="continuationSeparator" w:id="0">
    <w:p w:rsidR="00DF7E4F" w:rsidRDefault="00DF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9A" w:rsidRDefault="008D1BC9">
    <w:pPr>
      <w:pStyle w:val="llb"/>
    </w:pPr>
    <w:r>
      <w:rPr>
        <w:rFonts w:ascii="Garamond" w:hAnsi="Garamond"/>
        <w:noProof/>
        <w:sz w:val="24"/>
        <w:szCs w:val="24"/>
        <w:lang w:val="en-US"/>
      </w:rPr>
      <w:drawing>
        <wp:anchor distT="0" distB="0" distL="114300" distR="114300" simplePos="0" relativeHeight="251659264" behindDoc="0" locked="0" layoutInCell="1" allowOverlap="1" wp14:anchorId="0001D7C0" wp14:editId="61BE993F">
          <wp:simplePos x="0" y="0"/>
          <wp:positionH relativeFrom="page">
            <wp:posOffset>4057650</wp:posOffset>
          </wp:positionH>
          <wp:positionV relativeFrom="page">
            <wp:posOffset>9213850</wp:posOffset>
          </wp:positionV>
          <wp:extent cx="3512950" cy="1489201"/>
          <wp:effectExtent l="0" t="0" r="0" b="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jt_közl_láblé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2950" cy="14892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4F" w:rsidRDefault="00DF7E4F">
      <w:pPr>
        <w:spacing w:after="0" w:line="240" w:lineRule="auto"/>
      </w:pPr>
      <w:r>
        <w:separator/>
      </w:r>
    </w:p>
  </w:footnote>
  <w:footnote w:type="continuationSeparator" w:id="0">
    <w:p w:rsidR="00DF7E4F" w:rsidRDefault="00DF7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98"/>
    <w:rsid w:val="00095D98"/>
    <w:rsid w:val="00276CE0"/>
    <w:rsid w:val="003D066D"/>
    <w:rsid w:val="005C26F1"/>
    <w:rsid w:val="005C51CE"/>
    <w:rsid w:val="005D4CE0"/>
    <w:rsid w:val="006A075B"/>
    <w:rsid w:val="007168B0"/>
    <w:rsid w:val="00821D6A"/>
    <w:rsid w:val="00845392"/>
    <w:rsid w:val="008D1BC9"/>
    <w:rsid w:val="00954828"/>
    <w:rsid w:val="00A4068D"/>
    <w:rsid w:val="00AD522D"/>
    <w:rsid w:val="00B44A76"/>
    <w:rsid w:val="00B64C7D"/>
    <w:rsid w:val="00C7702D"/>
    <w:rsid w:val="00C97BC2"/>
    <w:rsid w:val="00CD3143"/>
    <w:rsid w:val="00CF121A"/>
    <w:rsid w:val="00D35193"/>
    <w:rsid w:val="00DF7E4F"/>
    <w:rsid w:val="00E45068"/>
    <w:rsid w:val="00EE0098"/>
    <w:rsid w:val="00F44438"/>
    <w:rsid w:val="00FA32F0"/>
    <w:rsid w:val="00FE6B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3254"/>
  <w15:chartTrackingRefBased/>
  <w15:docId w15:val="{6F70A386-FC08-4B76-A199-A62C1410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D1BC9"/>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8D1BC9"/>
    <w:pPr>
      <w:tabs>
        <w:tab w:val="center" w:pos="4536"/>
        <w:tab w:val="right" w:pos="9072"/>
      </w:tabs>
      <w:spacing w:after="0" w:line="240" w:lineRule="auto"/>
    </w:pPr>
  </w:style>
  <w:style w:type="character" w:customStyle="1" w:styleId="llbChar">
    <w:name w:val="Élőláb Char"/>
    <w:basedOn w:val="Bekezdsalapbettpusa"/>
    <w:link w:val="llb"/>
    <w:uiPriority w:val="99"/>
    <w:rsid w:val="008D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horvath.virag@mftk.uni-pannon.h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Rotter Dóra</dc:creator>
  <cp:keywords/>
  <dc:description/>
  <cp:lastModifiedBy>Rotter Dóra</cp:lastModifiedBy>
  <cp:revision>15</cp:revision>
  <dcterms:created xsi:type="dcterms:W3CDTF">2021-12-14T07:39:00Z</dcterms:created>
  <dcterms:modified xsi:type="dcterms:W3CDTF">2022-01-27T12:49:00Z</dcterms:modified>
</cp:coreProperties>
</file>